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E51C3" w14:textId="77777777" w:rsidR="00C12EFE" w:rsidRDefault="00ED11BE" w:rsidP="00ED11BE">
      <w:pPr>
        <w:jc w:val="right"/>
      </w:pPr>
      <w:r>
        <w:rPr>
          <w:noProof/>
          <w:lang w:eastAsia="en-GB"/>
        </w:rPr>
        <mc:AlternateContent>
          <mc:Choice Requires="wps">
            <w:drawing>
              <wp:anchor distT="0" distB="0" distL="114300" distR="114300" simplePos="0" relativeHeight="251658240" behindDoc="0" locked="0" layoutInCell="1" allowOverlap="1" wp14:anchorId="64063235" wp14:editId="5451CB64">
                <wp:simplePos x="0" y="0"/>
                <wp:positionH relativeFrom="page">
                  <wp:posOffset>1002192</wp:posOffset>
                </wp:positionH>
                <wp:positionV relativeFrom="page">
                  <wp:posOffset>914400</wp:posOffset>
                </wp:positionV>
                <wp:extent cx="3914775" cy="1466850"/>
                <wp:effectExtent l="0" t="0" r="9525" b="19050"/>
                <wp:wrapThrough wrapText="bothSides">
                  <wp:wrapPolygon edited="0">
                    <wp:start x="0" y="0"/>
                    <wp:lineTo x="0" y="21694"/>
                    <wp:lineTo x="21582" y="21694"/>
                    <wp:lineTo x="21582" y="0"/>
                    <wp:lineTo x="0" y="0"/>
                  </wp:wrapPolygon>
                </wp:wrapThrough>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1466850"/>
                        </a:xfrm>
                        <a:prstGeom prst="rect">
                          <a:avLst/>
                        </a:prstGeom>
                        <a:solidFill>
                          <a:srgbClr val="1F497D">
                            <a:lumMod val="50000"/>
                          </a:srgbClr>
                        </a:solidFill>
                        <a:ln w="12700" cmpd="sng">
                          <a:solidFill>
                            <a:sysClr val="window" lastClr="FFFFFF">
                              <a:lumMod val="95000"/>
                              <a:lumOff val="0"/>
                            </a:sysClr>
                          </a:solidFill>
                          <a:prstDash val="solid"/>
                          <a:miter lim="800000"/>
                          <a:headEnd/>
                          <a:tailEnd/>
                        </a:ln>
                        <a:effectLst/>
                      </wps:spPr>
                      <wps:txbx>
                        <w:txbxContent>
                          <w:p w14:paraId="08324777" w14:textId="77777777" w:rsidR="006A63DB" w:rsidRPr="0083787E" w:rsidRDefault="006A63DB" w:rsidP="00C12EFE">
                            <w:pPr>
                              <w:pStyle w:val="Masthead"/>
                              <w:tabs>
                                <w:tab w:val="left" w:pos="284"/>
                              </w:tabs>
                              <w:ind w:left="426" w:right="498"/>
                              <w:rPr>
                                <w:sz w:val="32"/>
                                <w:szCs w:val="32"/>
                              </w:rPr>
                            </w:pPr>
                          </w:p>
                          <w:p w14:paraId="0BEC4420" w14:textId="7CF61FFE" w:rsidR="006A63DB" w:rsidRPr="0083787E" w:rsidRDefault="0083787E" w:rsidP="00C12EFE">
                            <w:pPr>
                              <w:pStyle w:val="Masthead"/>
                              <w:ind w:left="0" w:right="498"/>
                              <w:rPr>
                                <w:sz w:val="40"/>
                                <w:szCs w:val="40"/>
                                <w:lang w:val="en-GB"/>
                              </w:rPr>
                            </w:pPr>
                            <w:r>
                              <w:rPr>
                                <w:sz w:val="40"/>
                                <w:szCs w:val="40"/>
                              </w:rPr>
                              <w:t>C</w:t>
                            </w:r>
                            <w:r w:rsidR="004E37EB">
                              <w:rPr>
                                <w:sz w:val="40"/>
                                <w:szCs w:val="40"/>
                              </w:rPr>
                              <w:t>ivil</w:t>
                            </w:r>
                            <w:r w:rsidR="003B1623">
                              <w:rPr>
                                <w:sz w:val="40"/>
                                <w:szCs w:val="40"/>
                              </w:rPr>
                              <w:t xml:space="preserve"> and Family</w:t>
                            </w:r>
                            <w:r>
                              <w:rPr>
                                <w:sz w:val="40"/>
                                <w:szCs w:val="40"/>
                              </w:rPr>
                              <w:t xml:space="preserve"> Law Update </w:t>
                            </w: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63235" id="_x0000_t202" coordsize="21600,21600" o:spt="202" path="m,l,21600r21600,l21600,xe">
                <v:stroke joinstyle="miter"/>
                <v:path gradientshapeok="t" o:connecttype="rect"/>
              </v:shapetype>
              <v:shape id="Text Box 82" o:spid="_x0000_s1026" type="#_x0000_t202" style="position:absolute;left:0;text-align:left;margin-left:78.9pt;margin-top:1in;width:308.25pt;height:1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" fillcolor="#10253f" strokecolor="#f2f2f2" strokeweight="1pt">
                <v:textbox inset=",,,0">
                  <w:txbxContent>
                    <w:p w14:paraId="08324777" w14:textId="77777777" w:rsidR="006A63DB" w:rsidRPr="0083787E" w:rsidRDefault="006A63DB" w:rsidP="00C12EFE">
                      <w:pPr>
                        <w:pStyle w:val="Masthead"/>
                        <w:tabs>
                          <w:tab w:val="left" w:pos="284"/>
                        </w:tabs>
                        <w:ind w:left="426" w:right="498"/>
                        <w:rPr>
                          <w:sz w:val="32"/>
                          <w:szCs w:val="32"/>
                        </w:rPr>
                      </w:pPr>
                    </w:p>
                    <w:p w14:paraId="0BEC4420" w14:textId="7CF61FFE" w:rsidR="006A63DB" w:rsidRPr="0083787E" w:rsidRDefault="0083787E" w:rsidP="00C12EFE">
                      <w:pPr>
                        <w:pStyle w:val="Masthead"/>
                        <w:ind w:left="0" w:right="498"/>
                        <w:rPr>
                          <w:sz w:val="40"/>
                          <w:szCs w:val="40"/>
                          <w:lang w:val="en-GB"/>
                        </w:rPr>
                      </w:pPr>
                      <w:r>
                        <w:rPr>
                          <w:sz w:val="40"/>
                          <w:szCs w:val="40"/>
                        </w:rPr>
                        <w:t>C</w:t>
                      </w:r>
                      <w:r w:rsidR="004E37EB">
                        <w:rPr>
                          <w:sz w:val="40"/>
                          <w:szCs w:val="40"/>
                        </w:rPr>
                        <w:t>ivil</w:t>
                      </w:r>
                      <w:r w:rsidR="003B1623">
                        <w:rPr>
                          <w:sz w:val="40"/>
                          <w:szCs w:val="40"/>
                        </w:rPr>
                        <w:t xml:space="preserve"> and Family</w:t>
                      </w:r>
                      <w:r>
                        <w:rPr>
                          <w:sz w:val="40"/>
                          <w:szCs w:val="40"/>
                        </w:rPr>
                        <w:t xml:space="preserve"> Law Update </w:t>
                      </w:r>
                    </w:p>
                  </w:txbxContent>
                </v:textbox>
                <w10:wrap type="through" anchorx="page" anchory="page"/>
              </v:shape>
            </w:pict>
          </mc:Fallback>
        </mc:AlternateContent>
      </w:r>
      <w:r w:rsidR="00C12EFE">
        <w:rPr>
          <w:noProof/>
          <w:lang w:eastAsia="en-GB"/>
        </w:rPr>
        <w:drawing>
          <wp:inline distT="0" distB="0" distL="0" distR="0" wp14:anchorId="309E8906" wp14:editId="3BD23C8C">
            <wp:extent cx="1383392" cy="162355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3392" cy="1623554"/>
                    </a:xfrm>
                    <a:prstGeom prst="rect">
                      <a:avLst/>
                    </a:prstGeom>
                    <a:noFill/>
                    <a:ln>
                      <a:noFill/>
                    </a:ln>
                  </pic:spPr>
                </pic:pic>
              </a:graphicData>
            </a:graphic>
          </wp:inline>
        </w:drawing>
      </w:r>
    </w:p>
    <w:p w14:paraId="16237784" w14:textId="0901D8B8" w:rsidR="00F32AF6" w:rsidRDefault="009E4937">
      <w:pPr>
        <w:rPr>
          <w:b/>
          <w:color w:val="17365D" w:themeColor="text2" w:themeShade="BF"/>
          <w:sz w:val="32"/>
          <w:szCs w:val="32"/>
        </w:rPr>
      </w:pPr>
      <w:r>
        <w:rPr>
          <w:b/>
          <w:color w:val="17365D" w:themeColor="text2" w:themeShade="BF"/>
          <w:sz w:val="32"/>
          <w:szCs w:val="32"/>
        </w:rPr>
        <w:t>November</w:t>
      </w:r>
      <w:r w:rsidR="0083787E">
        <w:rPr>
          <w:b/>
          <w:color w:val="17365D" w:themeColor="text2" w:themeShade="BF"/>
          <w:sz w:val="32"/>
          <w:szCs w:val="32"/>
        </w:rPr>
        <w:t xml:space="preserve"> 2026</w:t>
      </w:r>
    </w:p>
    <w:p w14:paraId="69ACB5FA" w14:textId="77777777" w:rsidR="006A63DB" w:rsidRPr="00B86B48" w:rsidRDefault="006A63DB">
      <w:pPr>
        <w:rPr>
          <w:b/>
          <w:color w:val="002060"/>
          <w:sz w:val="32"/>
          <w:szCs w:val="32"/>
        </w:rPr>
      </w:pPr>
    </w:p>
    <w:p w14:paraId="1B3DB183" w14:textId="77777777" w:rsidR="00B56EE6" w:rsidRPr="00B86B48" w:rsidRDefault="00B56EE6" w:rsidP="00674313">
      <w:pPr>
        <w:pStyle w:val="Heading1"/>
        <w:rPr>
          <w:sz w:val="20"/>
          <w:szCs w:val="20"/>
        </w:rPr>
      </w:pPr>
      <w:r w:rsidRPr="00B86B48">
        <w:t>Proposed Reform: Financial Provision for Cohabiting Couples upon Separation</w:t>
      </w:r>
    </w:p>
    <w:p w14:paraId="10B67471" w14:textId="77777777" w:rsidR="006A63DB" w:rsidRPr="00FA2EA5" w:rsidRDefault="006A63DB" w:rsidP="006A63DB">
      <w:pPr>
        <w:spacing w:line="276" w:lineRule="auto"/>
        <w:rPr>
          <w:rFonts w:cstheme="majorHAnsi"/>
          <w:sz w:val="20"/>
          <w:szCs w:val="20"/>
        </w:rPr>
      </w:pPr>
    </w:p>
    <w:p w14:paraId="08A9433A" w14:textId="40B813D5" w:rsidR="00FA2EA5" w:rsidRPr="00FA2EA5" w:rsidRDefault="00FA2EA5" w:rsidP="00015953">
      <w:r w:rsidRPr="00FA2EA5">
        <w:t xml:space="preserve">In June 2026, the government published a 100-page consultation paper entitled </w:t>
      </w:r>
      <w:r w:rsidRPr="00FA2EA5">
        <w:rPr>
          <w:i/>
          <w:iCs/>
        </w:rPr>
        <w:t>A fairer end to relationships</w:t>
      </w:r>
      <w:r w:rsidR="009B576C">
        <w:rPr>
          <w:rStyle w:val="FootnoteReference"/>
          <w:i/>
          <w:iCs/>
        </w:rPr>
        <w:footnoteReference w:id="1"/>
      </w:r>
      <w:r w:rsidRPr="00FA2EA5">
        <w:t>. The paper proposes a tripartite reform to the law of</w:t>
      </w:r>
      <w:r w:rsidRPr="00FA2EA5">
        <w:rPr>
          <w:color w:val="FF0000"/>
        </w:rPr>
        <w:t xml:space="preserve"> </w:t>
      </w:r>
      <w:r w:rsidRPr="00FA2EA5">
        <w:t xml:space="preserve">financial provision upon relationship breakdown. The most significant proposed reform seeks to introduce a mechanism for cohabiting couples to apply for a range of financial orders upon separation. </w:t>
      </w:r>
    </w:p>
    <w:p w14:paraId="6084B985" w14:textId="77777777" w:rsidR="00FA2EA5" w:rsidRPr="00FA2EA5" w:rsidRDefault="00FA2EA5" w:rsidP="009D585E">
      <w:pPr>
        <w:jc w:val="both"/>
        <w:rPr>
          <w:sz w:val="20"/>
          <w:szCs w:val="20"/>
        </w:rPr>
      </w:pPr>
    </w:p>
    <w:p w14:paraId="5ECE1F05" w14:textId="77777777" w:rsidR="00FA2EA5" w:rsidRDefault="00FA2EA5" w:rsidP="00674313">
      <w:pPr>
        <w:pStyle w:val="Heading2"/>
      </w:pPr>
      <w:r w:rsidRPr="00FA2EA5">
        <w:t xml:space="preserve">The current law </w:t>
      </w:r>
    </w:p>
    <w:p w14:paraId="36D9353E" w14:textId="77777777" w:rsidR="00674313" w:rsidRPr="00674313" w:rsidRDefault="00674313" w:rsidP="00674313"/>
    <w:p w14:paraId="2488FEC0" w14:textId="77777777" w:rsidR="00FA2EA5" w:rsidRPr="00FA2EA5" w:rsidRDefault="00FA2EA5" w:rsidP="00015953">
      <w:r w:rsidRPr="00FA2EA5">
        <w:t xml:space="preserve">Under the current law, there is no specific regime under which cohabiting couples who separate may apply for financial awards. Instead, property disputes must be pursued through the civil courts and are governed by TOLATA 1996. In these cases, the court’s powers are limited, and there is no provision to award lump sum payments, to divide pensions or to award maintenance. </w:t>
      </w:r>
    </w:p>
    <w:p w14:paraId="36A1CFDC" w14:textId="77777777" w:rsidR="00FA2EA5" w:rsidRPr="00FA2EA5" w:rsidRDefault="00FA2EA5" w:rsidP="009D585E">
      <w:pPr>
        <w:jc w:val="both"/>
        <w:rPr>
          <w:sz w:val="20"/>
          <w:szCs w:val="20"/>
        </w:rPr>
      </w:pPr>
    </w:p>
    <w:p w14:paraId="78B00907" w14:textId="757CAFAF" w:rsidR="00FA2EA5" w:rsidRPr="00FA2EA5" w:rsidRDefault="00FA2EA5" w:rsidP="00015953">
      <w:r w:rsidRPr="00FA2EA5">
        <w:t>Financial provision for children may be sought through the Child Maintenance Service</w:t>
      </w:r>
      <w:r w:rsidR="00015953">
        <w:t xml:space="preserve"> (CMS)</w:t>
      </w:r>
      <w:r w:rsidRPr="00FA2EA5">
        <w:t xml:space="preserve">, under the Child Support Act 1991. The CMS uses a statutory formula to calculate maintenance, and this is designed to cover </w:t>
      </w:r>
      <w:r w:rsidRPr="00FA2EA5">
        <w:lastRenderedPageBreak/>
        <w:t xml:space="preserve">only basic costs relating to clothing, housing and feeding the child. There is provision, under Schedule 1 Children Act 1989, for parents to apply for a top-up payment or for lump sums or property arrangements in relation to a child. However, these orders are made exclusively for the benefit and needs of the child, but not the parent. </w:t>
      </w:r>
    </w:p>
    <w:p w14:paraId="14575725" w14:textId="77777777" w:rsidR="00FA2EA5" w:rsidRPr="00FA2EA5" w:rsidRDefault="00FA2EA5" w:rsidP="009D585E">
      <w:pPr>
        <w:jc w:val="both"/>
        <w:rPr>
          <w:sz w:val="20"/>
          <w:szCs w:val="20"/>
        </w:rPr>
      </w:pPr>
    </w:p>
    <w:p w14:paraId="75B6D4D2" w14:textId="77777777" w:rsidR="00FA2EA5" w:rsidRPr="00FA2EA5" w:rsidRDefault="00FA2EA5" w:rsidP="00015953">
      <w:r w:rsidRPr="00FA2EA5">
        <w:t xml:space="preserve">Crucially, there is currently no mechanism through which a cohabitant may seek a financial award for their own needs. This position can be contrasted with the extensive powers of the court to award financial remedies upon divorce or dissolution under the Matrimonial Causes Act 1973. </w:t>
      </w:r>
    </w:p>
    <w:p w14:paraId="020F66D7" w14:textId="77777777" w:rsidR="00FA2EA5" w:rsidRPr="00FA2EA5" w:rsidRDefault="00FA2EA5" w:rsidP="009D585E">
      <w:pPr>
        <w:jc w:val="both"/>
        <w:rPr>
          <w:sz w:val="20"/>
          <w:szCs w:val="20"/>
        </w:rPr>
      </w:pPr>
    </w:p>
    <w:p w14:paraId="23E904F9" w14:textId="77777777" w:rsidR="00FA2EA5" w:rsidRDefault="00FA2EA5" w:rsidP="00674313">
      <w:pPr>
        <w:pStyle w:val="Heading2"/>
      </w:pPr>
      <w:r w:rsidRPr="00FA2EA5">
        <w:t>Reasons for reform</w:t>
      </w:r>
    </w:p>
    <w:p w14:paraId="00B87B72" w14:textId="77777777" w:rsidR="00674313" w:rsidRPr="00674313" w:rsidRDefault="00674313" w:rsidP="00674313"/>
    <w:p w14:paraId="3D708725" w14:textId="1D88457A" w:rsidR="00FA2EA5" w:rsidRPr="00FA2EA5" w:rsidRDefault="00FA2EA5" w:rsidP="00015953">
      <w:r w:rsidRPr="00FA2EA5">
        <w:t xml:space="preserve">Almost half of people (47%) in England and Wales wrongly believe in the concept of </w:t>
      </w:r>
      <w:r w:rsidR="00015953">
        <w:t>‘</w:t>
      </w:r>
      <w:r w:rsidRPr="00FA2EA5">
        <w:t>common law marriage</w:t>
      </w:r>
      <w:r w:rsidR="00015953">
        <w:t>’</w:t>
      </w:r>
      <w:r w:rsidRPr="00FA2EA5">
        <w:t>.</w:t>
      </w:r>
      <w:r w:rsidRPr="00FA2EA5">
        <w:rPr>
          <w:rStyle w:val="FootnoteReference"/>
          <w:sz w:val="20"/>
          <w:szCs w:val="20"/>
        </w:rPr>
        <w:footnoteReference w:id="2"/>
      </w:r>
      <w:r w:rsidRPr="00FA2EA5">
        <w:t xml:space="preserve"> Namely, that unmarried couples who live together for a length of time or have children together will be treated as if they were married by the courts. </w:t>
      </w:r>
    </w:p>
    <w:p w14:paraId="20FD7A40" w14:textId="77777777" w:rsidR="00FA2EA5" w:rsidRPr="00FA2EA5" w:rsidRDefault="00FA2EA5" w:rsidP="009D585E">
      <w:pPr>
        <w:jc w:val="both"/>
        <w:rPr>
          <w:sz w:val="20"/>
          <w:szCs w:val="20"/>
        </w:rPr>
      </w:pPr>
    </w:p>
    <w:p w14:paraId="37479AA1" w14:textId="38CF8AA1" w:rsidR="00FA2EA5" w:rsidRPr="00FA2EA5" w:rsidRDefault="00FA2EA5" w:rsidP="00015953">
      <w:r w:rsidRPr="00FA2EA5">
        <w:t xml:space="preserve">In addition, a growing number of couples are cohabiting but choosing not to marry or </w:t>
      </w:r>
      <w:proofErr w:type="gramStart"/>
      <w:r w:rsidRPr="00FA2EA5">
        <w:t>enter into</w:t>
      </w:r>
      <w:proofErr w:type="gramEnd"/>
      <w:r w:rsidRPr="00FA2EA5">
        <w:t xml:space="preserve"> a civil partnership. This number has more than doubled in the last 30 years, to around 3.5 million couples.</w:t>
      </w:r>
      <w:r w:rsidRPr="00FA2EA5">
        <w:rPr>
          <w:rStyle w:val="FootnoteReference"/>
          <w:sz w:val="20"/>
          <w:szCs w:val="20"/>
        </w:rPr>
        <w:footnoteReference w:id="3"/>
      </w:r>
      <w:r w:rsidRPr="00FA2EA5">
        <w:t xml:space="preserve"> Children are also impacted, with 51% of babies in 2022 being born to unmarried parents.</w:t>
      </w:r>
      <w:r w:rsidRPr="00FA2EA5">
        <w:rPr>
          <w:rStyle w:val="FootnoteReference"/>
          <w:sz w:val="20"/>
          <w:szCs w:val="20"/>
        </w:rPr>
        <w:footnoteReference w:id="4"/>
      </w:r>
      <w:r w:rsidRPr="00FA2EA5">
        <w:t xml:space="preserve"> Whilst the </w:t>
      </w:r>
      <w:r w:rsidR="00015953">
        <w:t>CMS</w:t>
      </w:r>
      <w:r w:rsidRPr="00FA2EA5">
        <w:t xml:space="preserve"> can make provision for children, it does not do so for the primary carer of the child. This is concerning, as it has been shown that the financial struggles of a primary carer can impact upon a child’s welfare. One study suggested that </w:t>
      </w:r>
      <w:r w:rsidRPr="00FA2EA5">
        <w:lastRenderedPageBreak/>
        <w:t>children in continuing poverty are almost three times more likely to suffer from severe mental health problems.</w:t>
      </w:r>
      <w:r w:rsidRPr="00FA2EA5">
        <w:rPr>
          <w:rStyle w:val="FootnoteReference"/>
          <w:sz w:val="20"/>
          <w:szCs w:val="20"/>
        </w:rPr>
        <w:footnoteReference w:id="5"/>
      </w:r>
    </w:p>
    <w:p w14:paraId="5103E0DD" w14:textId="77777777" w:rsidR="00FA2EA5" w:rsidRPr="00FA2EA5" w:rsidRDefault="00FA2EA5" w:rsidP="009D585E">
      <w:pPr>
        <w:jc w:val="both"/>
        <w:rPr>
          <w:sz w:val="20"/>
          <w:szCs w:val="20"/>
        </w:rPr>
      </w:pPr>
    </w:p>
    <w:p w14:paraId="1CD657FA" w14:textId="77777777" w:rsidR="00FA2EA5" w:rsidRPr="00FA2EA5" w:rsidRDefault="00FA2EA5" w:rsidP="00015953">
      <w:r w:rsidRPr="00FA2EA5">
        <w:t>A further catalyst for reform is the desire to support individuals affected by domestic abuse. It is suggested that more robust protection for cohabitants would help to prevent the number of situations in which a victim of abuse is unable to leave the relationship because they cannot afford to live alone.</w:t>
      </w:r>
    </w:p>
    <w:p w14:paraId="65F9D58E" w14:textId="77777777" w:rsidR="00FA2EA5" w:rsidRPr="00FA2EA5" w:rsidRDefault="00FA2EA5" w:rsidP="009D585E">
      <w:pPr>
        <w:jc w:val="both"/>
        <w:rPr>
          <w:sz w:val="20"/>
          <w:szCs w:val="20"/>
        </w:rPr>
      </w:pPr>
    </w:p>
    <w:p w14:paraId="3C828A38" w14:textId="77777777" w:rsidR="00FA2EA5" w:rsidRDefault="00FA2EA5" w:rsidP="00674313">
      <w:pPr>
        <w:pStyle w:val="Heading2"/>
      </w:pPr>
      <w:r w:rsidRPr="00FA2EA5">
        <w:t xml:space="preserve">Proposed reform </w:t>
      </w:r>
    </w:p>
    <w:p w14:paraId="4CC1BD40" w14:textId="77777777" w:rsidR="00674313" w:rsidRPr="00674313" w:rsidRDefault="00674313" w:rsidP="00674313"/>
    <w:p w14:paraId="76FD53D1" w14:textId="77777777" w:rsidR="00FA2EA5" w:rsidRPr="00FA2EA5" w:rsidRDefault="00FA2EA5" w:rsidP="00015953">
      <w:r w:rsidRPr="00FA2EA5">
        <w:t xml:space="preserve">The key aspects of the proposed reform are outlined below. </w:t>
      </w:r>
    </w:p>
    <w:p w14:paraId="6F857215" w14:textId="77777777" w:rsidR="00FA2EA5" w:rsidRPr="00FA2EA5" w:rsidRDefault="00FA2EA5" w:rsidP="009D585E">
      <w:pPr>
        <w:jc w:val="both"/>
        <w:rPr>
          <w:i/>
          <w:iCs/>
          <w:sz w:val="20"/>
          <w:szCs w:val="20"/>
        </w:rPr>
      </w:pPr>
    </w:p>
    <w:p w14:paraId="6D7684E4" w14:textId="77777777" w:rsidR="00FA2EA5" w:rsidRDefault="00FA2EA5" w:rsidP="00674313">
      <w:pPr>
        <w:pStyle w:val="Heading3"/>
      </w:pPr>
      <w:r w:rsidRPr="00FA2EA5">
        <w:t>Eligibility</w:t>
      </w:r>
    </w:p>
    <w:p w14:paraId="073EC63B" w14:textId="77777777" w:rsidR="00674313" w:rsidRPr="00674313" w:rsidRDefault="00674313" w:rsidP="00674313"/>
    <w:p w14:paraId="76D50301" w14:textId="7E9931D0" w:rsidR="00FA2EA5" w:rsidRDefault="00FA2EA5" w:rsidP="00015953">
      <w:r w:rsidRPr="00FA2EA5">
        <w:t>The framework will apply to where two people who are over the age of 18 are living together as a couple in an enduring family relationship</w:t>
      </w:r>
      <w:r w:rsidR="00015953">
        <w:t>’</w:t>
      </w:r>
      <w:r w:rsidRPr="00FA2EA5">
        <w:t xml:space="preserve">. In determining whether individuals are cohabitants, the court will consider </w:t>
      </w:r>
      <w:proofErr w:type="gramStart"/>
      <w:r w:rsidRPr="00FA2EA5">
        <w:t>a number of</w:t>
      </w:r>
      <w:proofErr w:type="gramEnd"/>
      <w:r w:rsidRPr="00FA2EA5">
        <w:t xml:space="preserve"> factors including the stability of the relationship, financial arrangements, and responsibility for children. </w:t>
      </w:r>
    </w:p>
    <w:p w14:paraId="3086FB85" w14:textId="77777777" w:rsidR="00015953" w:rsidRPr="00FA2EA5" w:rsidRDefault="00015953" w:rsidP="00015953"/>
    <w:p w14:paraId="64E13805" w14:textId="77777777" w:rsidR="00FA2EA5" w:rsidRPr="00FA2EA5" w:rsidRDefault="00FA2EA5" w:rsidP="00015953">
      <w:r w:rsidRPr="00FA2EA5">
        <w:t xml:space="preserve">Couples must have lived together for three years to be eligible, unless they live together and have a child, in which case no minimum duration period will apply. </w:t>
      </w:r>
    </w:p>
    <w:p w14:paraId="2F2EFEFE" w14:textId="77777777" w:rsidR="00FA2EA5" w:rsidRPr="00FA2EA5" w:rsidRDefault="00FA2EA5" w:rsidP="009D585E">
      <w:pPr>
        <w:jc w:val="both"/>
        <w:rPr>
          <w:i/>
          <w:iCs/>
          <w:sz w:val="20"/>
          <w:szCs w:val="20"/>
        </w:rPr>
      </w:pPr>
    </w:p>
    <w:p w14:paraId="38F934AF" w14:textId="77777777" w:rsidR="00FA2EA5" w:rsidRDefault="00FA2EA5" w:rsidP="00674313">
      <w:pPr>
        <w:pStyle w:val="Heading3"/>
      </w:pPr>
      <w:r w:rsidRPr="00FA2EA5">
        <w:t xml:space="preserve">Time limits </w:t>
      </w:r>
    </w:p>
    <w:p w14:paraId="3C5933D4" w14:textId="77777777" w:rsidR="00674313" w:rsidRPr="00674313" w:rsidRDefault="00674313" w:rsidP="00674313"/>
    <w:p w14:paraId="4B66F251" w14:textId="77777777" w:rsidR="00FA2EA5" w:rsidRPr="00FA2EA5" w:rsidRDefault="00FA2EA5" w:rsidP="00015953">
      <w:r w:rsidRPr="00FA2EA5">
        <w:t xml:space="preserve">A two-year time limit, from the date of separation, will apply for an individual to bring an application. </w:t>
      </w:r>
    </w:p>
    <w:p w14:paraId="476AF7F9" w14:textId="77777777" w:rsidR="00FA2EA5" w:rsidRPr="00FA2EA5" w:rsidRDefault="00FA2EA5" w:rsidP="009D585E">
      <w:pPr>
        <w:jc w:val="both"/>
        <w:rPr>
          <w:sz w:val="20"/>
          <w:szCs w:val="20"/>
        </w:rPr>
      </w:pPr>
    </w:p>
    <w:p w14:paraId="6DB7F088" w14:textId="77777777" w:rsidR="00FA2EA5" w:rsidRDefault="00FA2EA5" w:rsidP="00674313">
      <w:pPr>
        <w:pStyle w:val="Heading3"/>
      </w:pPr>
      <w:r w:rsidRPr="00FA2EA5">
        <w:t>Needs-based approach</w:t>
      </w:r>
    </w:p>
    <w:p w14:paraId="5ED9F256" w14:textId="77777777" w:rsidR="00674313" w:rsidRPr="00674313" w:rsidRDefault="00674313" w:rsidP="00674313"/>
    <w:p w14:paraId="449392E2" w14:textId="77777777" w:rsidR="00FA2EA5" w:rsidRPr="00FA2EA5" w:rsidRDefault="00FA2EA5" w:rsidP="00015953">
      <w:r w:rsidRPr="00FA2EA5">
        <w:t xml:space="preserve">A two-stage approach is proposed. </w:t>
      </w:r>
    </w:p>
    <w:p w14:paraId="6C76BD25" w14:textId="77777777" w:rsidR="00FA2EA5" w:rsidRPr="00FA2EA5" w:rsidRDefault="00FA2EA5" w:rsidP="009D585E">
      <w:pPr>
        <w:jc w:val="both"/>
        <w:rPr>
          <w:sz w:val="20"/>
          <w:szCs w:val="20"/>
        </w:rPr>
      </w:pPr>
    </w:p>
    <w:p w14:paraId="22431480" w14:textId="13064C28" w:rsidR="00FA2EA5" w:rsidRPr="00FA2EA5" w:rsidRDefault="00FA2EA5" w:rsidP="00015953">
      <w:r w:rsidRPr="00FA2EA5">
        <w:t xml:space="preserve">In the first stage, the needs of any children come first, as in divorce cases. </w:t>
      </w:r>
    </w:p>
    <w:p w14:paraId="0276473F" w14:textId="77777777" w:rsidR="00FA2EA5" w:rsidRPr="00FA2EA5" w:rsidRDefault="00FA2EA5" w:rsidP="009D585E">
      <w:pPr>
        <w:jc w:val="both"/>
        <w:rPr>
          <w:sz w:val="20"/>
          <w:szCs w:val="20"/>
        </w:rPr>
      </w:pPr>
    </w:p>
    <w:p w14:paraId="0E980013" w14:textId="4DC68E69" w:rsidR="00FA2EA5" w:rsidRPr="00FA2EA5" w:rsidRDefault="00FA2EA5" w:rsidP="00015953">
      <w:r w:rsidRPr="00FA2EA5">
        <w:t xml:space="preserve">Then, in the second stage the court will consider the individuals’ own financial needs. Crucially, the government intends for </w:t>
      </w:r>
      <w:r w:rsidR="00015953">
        <w:t>‘</w:t>
      </w:r>
      <w:r w:rsidRPr="00FA2EA5">
        <w:t>needs</w:t>
      </w:r>
      <w:r w:rsidR="00015953">
        <w:t>’</w:t>
      </w:r>
      <w:r w:rsidRPr="00FA2EA5">
        <w:t xml:space="preserve"> to be treated differently to divorce cases. Unlike upon divorce, there will be no provision for sharing, and only a very limited consideration of compensation. </w:t>
      </w:r>
    </w:p>
    <w:p w14:paraId="7847979E" w14:textId="77777777" w:rsidR="00FA2EA5" w:rsidRPr="00FA2EA5" w:rsidRDefault="00FA2EA5" w:rsidP="009D585E">
      <w:pPr>
        <w:jc w:val="both"/>
        <w:rPr>
          <w:sz w:val="20"/>
          <w:szCs w:val="20"/>
        </w:rPr>
      </w:pPr>
    </w:p>
    <w:p w14:paraId="6D907A83" w14:textId="77777777" w:rsidR="00FA2EA5" w:rsidRPr="00FA2EA5" w:rsidRDefault="00FA2EA5" w:rsidP="00015953">
      <w:r w:rsidRPr="00FA2EA5">
        <w:t xml:space="preserve">The aim of the court will be to ensure that each person can secure suitable housing and meet living costs. Discretionary needs beyond those which are necessary will not be included, even if excess resources are available. When assessing needs, the court will be entitled to consider circumstances which are not directly linked to the relationship, such as if one individual has a health condition. In addition, it is proposed that misconduct by one of the parties shall be treated consistently across financial remedy proceedings on divorce and within the cohabitation framework. </w:t>
      </w:r>
    </w:p>
    <w:p w14:paraId="5AB8E601" w14:textId="77777777" w:rsidR="00FA2EA5" w:rsidRPr="00FA2EA5" w:rsidRDefault="00FA2EA5" w:rsidP="009D585E">
      <w:pPr>
        <w:jc w:val="both"/>
        <w:rPr>
          <w:sz w:val="20"/>
          <w:szCs w:val="20"/>
        </w:rPr>
      </w:pPr>
    </w:p>
    <w:p w14:paraId="025C9C4B" w14:textId="77777777" w:rsidR="00FA2EA5" w:rsidRDefault="00FA2EA5" w:rsidP="00674313">
      <w:pPr>
        <w:pStyle w:val="Heading3"/>
      </w:pPr>
      <w:r w:rsidRPr="00FA2EA5">
        <w:t>Remedies available</w:t>
      </w:r>
    </w:p>
    <w:p w14:paraId="24CA32AE" w14:textId="77777777" w:rsidR="00674313" w:rsidRPr="00674313" w:rsidRDefault="00674313" w:rsidP="00674313"/>
    <w:p w14:paraId="35E49A40" w14:textId="2AE298C6" w:rsidR="00FA2EA5" w:rsidRPr="00FA2EA5" w:rsidRDefault="00FA2EA5" w:rsidP="00015953">
      <w:r w:rsidRPr="00FA2EA5">
        <w:t xml:space="preserve">A range of remedies will be available to the court including lump sum orders, pension sharing orders and property adjustment orders. Maintenance orders will be available, but only in exceptional circumstances such as in cases of disability or serious health issues. Any periodical payments must be for a limited defined duration only. It will not be possible to make a </w:t>
      </w:r>
      <w:r w:rsidR="00015953">
        <w:t>‘</w:t>
      </w:r>
      <w:r w:rsidRPr="00FA2EA5">
        <w:t>joint lives</w:t>
      </w:r>
      <w:r w:rsidR="00015953">
        <w:t>’</w:t>
      </w:r>
      <w:r w:rsidRPr="00FA2EA5">
        <w:t xml:space="preserve"> order. </w:t>
      </w:r>
    </w:p>
    <w:p w14:paraId="1DFE5B27" w14:textId="77777777" w:rsidR="00FA2EA5" w:rsidRPr="00FA2EA5" w:rsidRDefault="00FA2EA5" w:rsidP="009D585E">
      <w:pPr>
        <w:jc w:val="both"/>
        <w:rPr>
          <w:sz w:val="20"/>
          <w:szCs w:val="20"/>
        </w:rPr>
      </w:pPr>
    </w:p>
    <w:p w14:paraId="41FB9FBD" w14:textId="77777777" w:rsidR="00FA2EA5" w:rsidRDefault="00FA2EA5" w:rsidP="00674313">
      <w:pPr>
        <w:pStyle w:val="Heading3"/>
      </w:pPr>
      <w:r w:rsidRPr="00FA2EA5">
        <w:t>The opt-out system</w:t>
      </w:r>
    </w:p>
    <w:p w14:paraId="3531D4BC" w14:textId="77777777" w:rsidR="00674313" w:rsidRPr="00FA2EA5" w:rsidRDefault="00674313" w:rsidP="009D585E">
      <w:pPr>
        <w:jc w:val="both"/>
        <w:rPr>
          <w:sz w:val="20"/>
          <w:szCs w:val="20"/>
          <w:u w:val="single"/>
        </w:rPr>
      </w:pPr>
    </w:p>
    <w:p w14:paraId="6D2BF4D1" w14:textId="77777777" w:rsidR="00FA2EA5" w:rsidRPr="00FA2EA5" w:rsidRDefault="00FA2EA5" w:rsidP="00015953">
      <w:r w:rsidRPr="00FA2EA5">
        <w:t xml:space="preserve">Eligible cohabitants will automatically be covered by the framework, but couples can opt-out of the protections if they mutually agree to do so. Any opt-out agreement must be in the form of a valid contract and parties must obtain independent legal advice before signing any agreement. </w:t>
      </w:r>
    </w:p>
    <w:p w14:paraId="4A5BE9FD" w14:textId="77777777" w:rsidR="00FA2EA5" w:rsidRPr="00FA2EA5" w:rsidRDefault="00FA2EA5" w:rsidP="009D585E">
      <w:pPr>
        <w:jc w:val="both"/>
        <w:rPr>
          <w:sz w:val="20"/>
          <w:szCs w:val="20"/>
        </w:rPr>
      </w:pPr>
    </w:p>
    <w:p w14:paraId="6FE72FE1" w14:textId="77777777" w:rsidR="009B576C" w:rsidRDefault="009B576C">
      <w:pPr>
        <w:spacing w:line="240" w:lineRule="auto"/>
        <w:rPr>
          <w:rFonts w:eastAsiaTheme="majorEastAsia" w:cstheme="majorBidi"/>
          <w:color w:val="17365D" w:themeColor="text2" w:themeShade="BF"/>
          <w:sz w:val="26"/>
          <w:szCs w:val="26"/>
        </w:rPr>
      </w:pPr>
      <w:r>
        <w:br w:type="page"/>
      </w:r>
    </w:p>
    <w:p w14:paraId="432C76B0" w14:textId="2018BBBE" w:rsidR="00FA2EA5" w:rsidRDefault="00FA2EA5" w:rsidP="00015953">
      <w:pPr>
        <w:pStyle w:val="Heading2"/>
      </w:pPr>
      <w:r w:rsidRPr="00FA2EA5">
        <w:lastRenderedPageBreak/>
        <w:t xml:space="preserve">Greater protection or further interference? </w:t>
      </w:r>
    </w:p>
    <w:p w14:paraId="4DF83081" w14:textId="77777777" w:rsidR="00674313" w:rsidRPr="00FA2EA5" w:rsidRDefault="00674313" w:rsidP="009D585E">
      <w:pPr>
        <w:jc w:val="both"/>
        <w:rPr>
          <w:sz w:val="20"/>
          <w:szCs w:val="20"/>
          <w:u w:val="single"/>
        </w:rPr>
      </w:pPr>
    </w:p>
    <w:p w14:paraId="1BD2075F" w14:textId="77777777" w:rsidR="00FA2EA5" w:rsidRPr="00FA2EA5" w:rsidRDefault="00FA2EA5" w:rsidP="00015953">
      <w:r w:rsidRPr="00FA2EA5">
        <w:t xml:space="preserve">Whilst the proposal makes it clear that the cohabitation framework would offer a more limited selection of remedies compared to those available upon divorce, the reform still represents a substantial interference in a couple’s ability to manage their own affairs freely. It seems that it would be impossible to opt-out without at the very least instructing solicitors for legal advice. </w:t>
      </w:r>
    </w:p>
    <w:p w14:paraId="63717B49" w14:textId="77777777" w:rsidR="00FA2EA5" w:rsidRPr="00FA2EA5" w:rsidRDefault="00FA2EA5" w:rsidP="009D585E">
      <w:pPr>
        <w:jc w:val="both"/>
        <w:rPr>
          <w:sz w:val="20"/>
          <w:szCs w:val="20"/>
        </w:rPr>
      </w:pPr>
    </w:p>
    <w:p w14:paraId="13938D11" w14:textId="659A4825" w:rsidR="00FA2EA5" w:rsidRPr="00FA2EA5" w:rsidRDefault="00FA2EA5" w:rsidP="00015953">
      <w:r w:rsidRPr="00FA2EA5">
        <w:t xml:space="preserve">Furthermore, the government cites widespread belief in </w:t>
      </w:r>
      <w:r w:rsidR="00015953">
        <w:t>‘</w:t>
      </w:r>
      <w:r w:rsidRPr="00FA2EA5">
        <w:t>common law marriage</w:t>
      </w:r>
      <w:r w:rsidR="00015953">
        <w:t>’</w:t>
      </w:r>
      <w:r w:rsidRPr="00FA2EA5">
        <w:t xml:space="preserve">, and the growing number of cohabiting couples as the leading basis of reform. Firstly, the paper fails to address the possibility that declining marriage rates may in part be caused by couples wanting to avoid the enduring financial ties that marriage imposes upon them. Secondly, rather than taking steps to educate the public that </w:t>
      </w:r>
      <w:r w:rsidR="00015953">
        <w:t>‘</w:t>
      </w:r>
      <w:r w:rsidRPr="00FA2EA5">
        <w:t>common law marriage</w:t>
      </w:r>
      <w:r w:rsidR="00015953">
        <w:t>’</w:t>
      </w:r>
      <w:r w:rsidRPr="00FA2EA5">
        <w:t xml:space="preserve"> is a myth, the paper suggests the rather severe step of changing the law to fix this. If reform occurs, one may wonder what issues will emerge for the other half of the population who </w:t>
      </w:r>
      <w:r w:rsidRPr="00FA2EA5">
        <w:rPr>
          <w:i/>
          <w:iCs/>
        </w:rPr>
        <w:t xml:space="preserve">were </w:t>
      </w:r>
      <w:r w:rsidRPr="00FA2EA5">
        <w:t xml:space="preserve">aware that </w:t>
      </w:r>
      <w:r w:rsidR="00015953">
        <w:t>‘</w:t>
      </w:r>
      <w:r w:rsidRPr="00FA2EA5">
        <w:t>common law marriage</w:t>
      </w:r>
      <w:r w:rsidR="00015953">
        <w:t>’</w:t>
      </w:r>
      <w:r w:rsidRPr="00FA2EA5">
        <w:t xml:space="preserve"> was a myth but now need to be taught otherwise. Whilst an opt-out system appeals in theory, it remains to be seen whether couples will be aware of the need to opt out, or how the government proposes to raise awareness of this need, given the failure to educate couples on the state of the law as it currently stands. </w:t>
      </w:r>
    </w:p>
    <w:p w14:paraId="429DCF25" w14:textId="77777777" w:rsidR="00F849CD" w:rsidRPr="00FA2EA5" w:rsidRDefault="00F849CD" w:rsidP="009D585E">
      <w:pPr>
        <w:spacing w:line="276" w:lineRule="auto"/>
        <w:jc w:val="both"/>
        <w:rPr>
          <w:rFonts w:cstheme="majorHAnsi"/>
          <w:b/>
          <w:color w:val="17365D" w:themeColor="text2" w:themeShade="BF"/>
          <w:sz w:val="20"/>
          <w:szCs w:val="20"/>
        </w:rPr>
      </w:pPr>
    </w:p>
    <w:p w14:paraId="64C29F1D" w14:textId="77777777" w:rsidR="00F849CD" w:rsidRDefault="00F849CD" w:rsidP="00F849CD"/>
    <w:p w14:paraId="195F11DA" w14:textId="77777777" w:rsidR="0083787E" w:rsidRDefault="0083787E" w:rsidP="002C38BB">
      <w:pPr>
        <w:pStyle w:val="Barristername"/>
      </w:pPr>
    </w:p>
    <w:p w14:paraId="6F3C8467" w14:textId="4978CF14" w:rsidR="00F849CD" w:rsidRDefault="003B1623" w:rsidP="002C38BB">
      <w:pPr>
        <w:pStyle w:val="Barristername"/>
      </w:pPr>
      <w:r>
        <w:t xml:space="preserve">Amelia East </w:t>
      </w:r>
      <w:r w:rsidR="0083787E">
        <w:t>(pupil)</w:t>
      </w:r>
    </w:p>
    <w:p w14:paraId="7FB043B3" w14:textId="77777777" w:rsidR="00F849CD" w:rsidRPr="006A63DB" w:rsidRDefault="00F849CD" w:rsidP="006A63DB">
      <w:pPr>
        <w:spacing w:line="276" w:lineRule="auto"/>
        <w:rPr>
          <w:rFonts w:cs="Arial"/>
          <w:b/>
          <w:color w:val="17365D" w:themeColor="text2" w:themeShade="BF"/>
        </w:rPr>
      </w:pPr>
    </w:p>
    <w:p w14:paraId="2822139A" w14:textId="77777777" w:rsidR="00C12EFE" w:rsidRDefault="00C12EFE" w:rsidP="006A63DB">
      <w:pPr>
        <w:spacing w:line="276" w:lineRule="auto"/>
        <w:rPr>
          <w:b/>
          <w:color w:val="17365D" w:themeColor="text2" w:themeShade="BF"/>
          <w:sz w:val="32"/>
          <w:szCs w:val="32"/>
        </w:rPr>
      </w:pPr>
    </w:p>
    <w:p w14:paraId="3E56D23D" w14:textId="77777777" w:rsidR="00C12EFE" w:rsidRDefault="00C12EFE" w:rsidP="006A63DB">
      <w:pPr>
        <w:spacing w:line="276" w:lineRule="auto"/>
        <w:jc w:val="both"/>
        <w:rPr>
          <w:rFonts w:cs="Arial"/>
        </w:rPr>
        <w:sectPr w:rsidR="00C12EFE" w:rsidSect="002B1170">
          <w:pgSz w:w="11900" w:h="16840"/>
          <w:pgMar w:top="1440" w:right="1800" w:bottom="1440" w:left="1800" w:header="708" w:footer="708" w:gutter="0"/>
          <w:cols w:space="708"/>
          <w:docGrid w:linePitch="360"/>
        </w:sectPr>
      </w:pPr>
    </w:p>
    <w:p w14:paraId="23CC3917" w14:textId="77777777" w:rsidR="0077002F" w:rsidRDefault="0077002F" w:rsidP="0077002F">
      <w:pPr>
        <w:rPr>
          <w:rFonts w:cs="Arial"/>
          <w:b/>
        </w:rPr>
      </w:pPr>
    </w:p>
    <w:p w14:paraId="6CB6F368" w14:textId="77777777" w:rsidR="0077002F" w:rsidRDefault="0077002F" w:rsidP="0077002F">
      <w:pPr>
        <w:rPr>
          <w:rFonts w:cs="Arial"/>
          <w:b/>
        </w:rPr>
      </w:pPr>
    </w:p>
    <w:p w14:paraId="41A4C4A2" w14:textId="77777777" w:rsidR="0077002F" w:rsidRDefault="0077002F" w:rsidP="0077002F">
      <w:pPr>
        <w:rPr>
          <w:rFonts w:cs="Arial"/>
          <w:b/>
        </w:rPr>
      </w:pPr>
    </w:p>
    <w:p w14:paraId="69184B66" w14:textId="77777777" w:rsidR="0077002F" w:rsidRDefault="0077002F" w:rsidP="0077002F">
      <w:pPr>
        <w:rPr>
          <w:rFonts w:cs="Arial"/>
          <w:b/>
        </w:rPr>
      </w:pPr>
    </w:p>
    <w:p w14:paraId="64116C02" w14:textId="77777777" w:rsidR="0077002F" w:rsidRDefault="0077002F" w:rsidP="0077002F">
      <w:pPr>
        <w:jc w:val="right"/>
        <w:rPr>
          <w:rFonts w:cs="Arial"/>
          <w:b/>
        </w:rPr>
      </w:pPr>
    </w:p>
    <w:p w14:paraId="0B696E68" w14:textId="77777777" w:rsidR="0077002F" w:rsidRDefault="0077002F" w:rsidP="0077002F">
      <w:pPr>
        <w:jc w:val="right"/>
        <w:rPr>
          <w:rFonts w:cs="Arial"/>
          <w:b/>
        </w:rPr>
      </w:pPr>
    </w:p>
    <w:p w14:paraId="3F9ECA37" w14:textId="77777777" w:rsidR="00FA2EA5" w:rsidRDefault="00FA2EA5" w:rsidP="0077002F">
      <w:pPr>
        <w:jc w:val="right"/>
        <w:rPr>
          <w:rFonts w:cs="Arial"/>
          <w:b/>
        </w:rPr>
      </w:pPr>
    </w:p>
    <w:p w14:paraId="762E348E" w14:textId="77777777" w:rsidR="00FA2EA5" w:rsidRDefault="00FA2EA5" w:rsidP="0077002F">
      <w:pPr>
        <w:jc w:val="right"/>
        <w:rPr>
          <w:rFonts w:cs="Arial"/>
          <w:b/>
        </w:rPr>
      </w:pPr>
    </w:p>
    <w:p w14:paraId="3F695AFD" w14:textId="77777777" w:rsidR="00FA2EA5" w:rsidRDefault="00FA2EA5" w:rsidP="0077002F">
      <w:pPr>
        <w:jc w:val="right"/>
        <w:rPr>
          <w:rFonts w:cs="Arial"/>
          <w:b/>
        </w:rPr>
      </w:pPr>
    </w:p>
    <w:p w14:paraId="3E9622D3" w14:textId="77777777" w:rsidR="00FA2EA5" w:rsidRDefault="00FA2EA5" w:rsidP="0077002F">
      <w:pPr>
        <w:jc w:val="right"/>
        <w:rPr>
          <w:rFonts w:cs="Arial"/>
          <w:b/>
        </w:rPr>
      </w:pPr>
    </w:p>
    <w:p w14:paraId="6D59DA36" w14:textId="77777777" w:rsidR="00FA2EA5" w:rsidRDefault="00FA2EA5" w:rsidP="0077002F">
      <w:pPr>
        <w:jc w:val="right"/>
        <w:rPr>
          <w:rFonts w:cs="Arial"/>
          <w:b/>
        </w:rPr>
      </w:pPr>
    </w:p>
    <w:p w14:paraId="66BB9D47" w14:textId="77777777" w:rsidR="00FA2EA5" w:rsidRDefault="00FA2EA5" w:rsidP="0077002F">
      <w:pPr>
        <w:jc w:val="right"/>
        <w:rPr>
          <w:rFonts w:cs="Arial"/>
          <w:b/>
        </w:rPr>
      </w:pPr>
    </w:p>
    <w:p w14:paraId="427AB818" w14:textId="77777777" w:rsidR="00FA2EA5" w:rsidRDefault="00FA2EA5" w:rsidP="0077002F">
      <w:pPr>
        <w:jc w:val="right"/>
        <w:rPr>
          <w:rFonts w:cs="Arial"/>
          <w:b/>
        </w:rPr>
      </w:pPr>
    </w:p>
    <w:p w14:paraId="77A9E58E" w14:textId="77777777" w:rsidR="00FA2EA5" w:rsidRDefault="00FA2EA5" w:rsidP="0077002F">
      <w:pPr>
        <w:jc w:val="right"/>
        <w:rPr>
          <w:rFonts w:cs="Arial"/>
          <w:b/>
        </w:rPr>
      </w:pPr>
    </w:p>
    <w:p w14:paraId="66BD51E9" w14:textId="77777777" w:rsidR="006A63DB" w:rsidRPr="006A63DB" w:rsidRDefault="006A63DB" w:rsidP="0083787E">
      <w:pPr>
        <w:rPr>
          <w:rFonts w:cs="Arial"/>
          <w:b/>
        </w:rPr>
        <w:sectPr w:rsidR="006A63DB" w:rsidRPr="006A63DB" w:rsidSect="00C12EFE">
          <w:type w:val="continuous"/>
          <w:pgSz w:w="11900" w:h="16840"/>
          <w:pgMar w:top="1440" w:right="1800" w:bottom="1440" w:left="1800" w:header="708" w:footer="708" w:gutter="0"/>
          <w:cols w:num="2" w:space="720"/>
          <w:docGrid w:linePitch="360"/>
        </w:sectPr>
      </w:pPr>
    </w:p>
    <w:p w14:paraId="76D9F077" w14:textId="20CFE06F" w:rsidR="0077002F" w:rsidRDefault="0077002F" w:rsidP="00015953">
      <w:pPr>
        <w:rPr>
          <w:rFonts w:asciiTheme="majorHAnsi" w:hAnsiTheme="majorHAnsi" w:cs="Arial"/>
        </w:rPr>
      </w:pPr>
    </w:p>
    <w:p w14:paraId="21EB0A61" w14:textId="6E6ED02F" w:rsidR="00092DDE" w:rsidRDefault="00092DDE" w:rsidP="00092DDE">
      <w:pPr>
        <w:pStyle w:val="Casenametitle"/>
        <w:jc w:val="center"/>
      </w:pPr>
      <w:r>
        <w:t>THE C</w:t>
      </w:r>
      <w:r w:rsidR="00585980">
        <w:t>IVIL AND FAMILY</w:t>
      </w:r>
      <w:r>
        <w:t xml:space="preserve"> TEAM:</w:t>
      </w:r>
    </w:p>
    <w:p w14:paraId="582E1022" w14:textId="77777777" w:rsidR="00C329BE" w:rsidRDefault="00C329BE" w:rsidP="00092DDE">
      <w:pPr>
        <w:pStyle w:val="Casenametitle"/>
        <w:jc w:val="center"/>
      </w:pPr>
    </w:p>
    <w:p w14:paraId="2159F0AF" w14:textId="77777777" w:rsidR="00EA5C8C" w:rsidRPr="00C329BE" w:rsidRDefault="00EA5C8C" w:rsidP="00092DDE">
      <w:pPr>
        <w:jc w:val="center"/>
        <w:rPr>
          <w:rFonts w:cs="Arial"/>
        </w:rPr>
      </w:pPr>
      <w:r w:rsidRPr="00C329BE">
        <w:rPr>
          <w:rFonts w:cs="Arial"/>
        </w:rPr>
        <w:t>Jo Martin KC (Deputy Head of Chambers)</w:t>
      </w:r>
    </w:p>
    <w:p w14:paraId="1F413531" w14:textId="77777777" w:rsidR="00585980" w:rsidRPr="00C329BE" w:rsidRDefault="00585980" w:rsidP="00585980">
      <w:pPr>
        <w:ind w:left="2160" w:firstLine="720"/>
      </w:pPr>
      <w:r w:rsidRPr="00C329BE">
        <w:t>Victoria Hoyle (Head of Family)</w:t>
      </w:r>
    </w:p>
    <w:p w14:paraId="27C4A9E5" w14:textId="77777777" w:rsidR="00585980" w:rsidRPr="00C329BE" w:rsidRDefault="00585980" w:rsidP="00585980">
      <w:pPr>
        <w:jc w:val="center"/>
      </w:pPr>
      <w:r w:rsidRPr="00C329BE">
        <w:t>Nicholas Bradley</w:t>
      </w:r>
    </w:p>
    <w:p w14:paraId="7C9031BD" w14:textId="5E47F3DE" w:rsidR="003F46F1" w:rsidRPr="00C329BE" w:rsidRDefault="00802ED0" w:rsidP="0041760B">
      <w:pPr>
        <w:jc w:val="center"/>
      </w:pPr>
      <w:r w:rsidRPr="00C329BE">
        <w:t>Stuart Frampton</w:t>
      </w:r>
    </w:p>
    <w:p w14:paraId="3EB66E2A" w14:textId="77777777" w:rsidR="00585980" w:rsidRPr="00C329BE" w:rsidRDefault="00585980" w:rsidP="00585980">
      <w:pPr>
        <w:jc w:val="center"/>
      </w:pPr>
      <w:r w:rsidRPr="00C329BE">
        <w:t>Sally Daulton</w:t>
      </w:r>
    </w:p>
    <w:p w14:paraId="45269493" w14:textId="6377DCE3" w:rsidR="00585980" w:rsidRPr="00C329BE" w:rsidRDefault="00585980" w:rsidP="00585980">
      <w:pPr>
        <w:jc w:val="center"/>
      </w:pPr>
      <w:r w:rsidRPr="00C329BE">
        <w:t>Scott Horner</w:t>
      </w:r>
    </w:p>
    <w:p w14:paraId="741EB02E" w14:textId="77777777" w:rsidR="00585980" w:rsidRPr="00C329BE" w:rsidRDefault="00585980" w:rsidP="00585980">
      <w:pPr>
        <w:jc w:val="center"/>
      </w:pPr>
      <w:r w:rsidRPr="00C329BE">
        <w:t>Amy Edinborough</w:t>
      </w:r>
    </w:p>
    <w:p w14:paraId="5859BA50" w14:textId="77777777" w:rsidR="00585980" w:rsidRPr="00C329BE" w:rsidRDefault="00585980" w:rsidP="00585980">
      <w:pPr>
        <w:jc w:val="center"/>
      </w:pPr>
      <w:r w:rsidRPr="00C329BE">
        <w:t>Danielle Metters</w:t>
      </w:r>
    </w:p>
    <w:p w14:paraId="054D7498" w14:textId="2C058C83" w:rsidR="00585980" w:rsidRPr="00C329BE" w:rsidRDefault="005A2FD0" w:rsidP="00585980">
      <w:pPr>
        <w:jc w:val="center"/>
      </w:pPr>
      <w:r w:rsidRPr="00C329BE">
        <w:t>Ian Darcy</w:t>
      </w:r>
    </w:p>
    <w:p w14:paraId="077EA36B" w14:textId="77777777" w:rsidR="00585980" w:rsidRPr="00C329BE" w:rsidRDefault="00585980" w:rsidP="00585980">
      <w:pPr>
        <w:jc w:val="center"/>
      </w:pPr>
      <w:r w:rsidRPr="00C329BE">
        <w:t>Charlie Barrass-Evans</w:t>
      </w:r>
    </w:p>
    <w:p w14:paraId="1D13FE26" w14:textId="08CB9B10" w:rsidR="00C329BE" w:rsidRPr="00C329BE" w:rsidRDefault="00C329BE" w:rsidP="00585980">
      <w:pPr>
        <w:jc w:val="center"/>
      </w:pPr>
      <w:r w:rsidRPr="00C329BE">
        <w:t>Matthew Mortimer</w:t>
      </w:r>
    </w:p>
    <w:p w14:paraId="204FFC31" w14:textId="49D0E166" w:rsidR="00585980" w:rsidRPr="00C329BE" w:rsidRDefault="00C35A3A" w:rsidP="00585980">
      <w:pPr>
        <w:jc w:val="center"/>
      </w:pPr>
      <w:r w:rsidRPr="00C329BE">
        <w:t>Hetty Summerhayes</w:t>
      </w:r>
    </w:p>
    <w:p w14:paraId="378A9FBF" w14:textId="788AE4BD" w:rsidR="00585980" w:rsidRPr="00C329BE" w:rsidRDefault="000270A1" w:rsidP="00585980">
      <w:pPr>
        <w:jc w:val="center"/>
      </w:pPr>
      <w:r w:rsidRPr="00C329BE">
        <w:t>Kasim Khan</w:t>
      </w:r>
    </w:p>
    <w:p w14:paraId="5C1F21D9" w14:textId="7D11061E" w:rsidR="00585980" w:rsidRPr="00C329BE" w:rsidRDefault="00585980" w:rsidP="00585980">
      <w:pPr>
        <w:jc w:val="center"/>
      </w:pPr>
      <w:r w:rsidRPr="00C329BE">
        <w:t xml:space="preserve">Matthew </w:t>
      </w:r>
      <w:r w:rsidR="00A22256" w:rsidRPr="00C329BE">
        <w:t>Baker</w:t>
      </w:r>
    </w:p>
    <w:p w14:paraId="45F4FCEC" w14:textId="14E1D7F9" w:rsidR="00A22256" w:rsidRPr="00C329BE" w:rsidRDefault="00A22256" w:rsidP="00585980">
      <w:pPr>
        <w:jc w:val="center"/>
      </w:pPr>
      <w:r w:rsidRPr="00C329BE">
        <w:t>Gabrielle Jules (</w:t>
      </w:r>
      <w:r w:rsidR="00966212" w:rsidRPr="00C329BE">
        <w:t xml:space="preserve">pupil) </w:t>
      </w:r>
    </w:p>
    <w:p w14:paraId="75C306FF" w14:textId="1B7085D6" w:rsidR="00966212" w:rsidRPr="00C329BE" w:rsidRDefault="00966212" w:rsidP="00585980">
      <w:pPr>
        <w:jc w:val="center"/>
      </w:pPr>
      <w:r w:rsidRPr="00C329BE">
        <w:t>Amelia East (pupil)</w:t>
      </w:r>
    </w:p>
    <w:p w14:paraId="243075B5" w14:textId="77777777" w:rsidR="00092DDE" w:rsidRPr="00585980" w:rsidRDefault="00092DDE" w:rsidP="00092DDE">
      <w:pPr>
        <w:jc w:val="center"/>
        <w:rPr>
          <w:rFonts w:asciiTheme="majorHAnsi" w:hAnsiTheme="majorHAnsi" w:cs="Arial"/>
        </w:rPr>
      </w:pPr>
    </w:p>
    <w:p w14:paraId="4A74D7E4" w14:textId="77777777" w:rsidR="006A63DB" w:rsidRPr="006A63DB" w:rsidRDefault="006A63DB" w:rsidP="006A63DB">
      <w:pPr>
        <w:ind w:right="455"/>
        <w:rPr>
          <w:rFonts w:cs="Arial"/>
          <w:b/>
          <w:color w:val="0F243E" w:themeColor="text2" w:themeShade="80"/>
        </w:rPr>
      </w:pPr>
    </w:p>
    <w:p w14:paraId="7F8B1EB1" w14:textId="77777777" w:rsidR="00C12EFE" w:rsidRDefault="00C12EFE" w:rsidP="00A07006">
      <w:pPr>
        <w:ind w:right="78"/>
        <w:jc w:val="center"/>
        <w:rPr>
          <w:szCs w:val="22"/>
        </w:rPr>
      </w:pPr>
      <w:r>
        <w:rPr>
          <w:noProof/>
          <w:szCs w:val="22"/>
          <w:lang w:eastAsia="en-GB"/>
        </w:rPr>
        <w:drawing>
          <wp:inline distT="0" distB="0" distL="0" distR="0" wp14:anchorId="752221E0" wp14:editId="397A7B9F">
            <wp:extent cx="1054100" cy="11445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204" cy="1144623"/>
                    </a:xfrm>
                    <a:prstGeom prst="rect">
                      <a:avLst/>
                    </a:prstGeom>
                    <a:noFill/>
                    <a:ln>
                      <a:noFill/>
                    </a:ln>
                  </pic:spPr>
                </pic:pic>
              </a:graphicData>
            </a:graphic>
          </wp:inline>
        </w:drawing>
      </w:r>
    </w:p>
    <w:p w14:paraId="1725567A" w14:textId="77777777" w:rsidR="00C12EFE" w:rsidRDefault="00C12EFE" w:rsidP="00A07006">
      <w:pPr>
        <w:ind w:right="78"/>
        <w:jc w:val="center"/>
        <w:rPr>
          <w:sz w:val="18"/>
          <w:szCs w:val="18"/>
        </w:rPr>
      </w:pPr>
    </w:p>
    <w:p w14:paraId="0E7348A3" w14:textId="77777777" w:rsidR="00C12EFE" w:rsidRPr="00C329BE" w:rsidRDefault="00C12EFE" w:rsidP="00A07006">
      <w:pPr>
        <w:ind w:right="78"/>
        <w:jc w:val="center"/>
        <w:rPr>
          <w:sz w:val="18"/>
          <w:szCs w:val="18"/>
        </w:rPr>
      </w:pPr>
    </w:p>
    <w:p w14:paraId="77B63F2C" w14:textId="77777777" w:rsidR="00C12EFE" w:rsidRPr="00C329BE" w:rsidRDefault="00C12EFE" w:rsidP="00A07006">
      <w:pPr>
        <w:ind w:right="78"/>
        <w:jc w:val="center"/>
        <w:rPr>
          <w:rFonts w:cs="Arial"/>
        </w:rPr>
      </w:pPr>
      <w:r w:rsidRPr="00C329BE">
        <w:rPr>
          <w:rFonts w:cs="Arial"/>
        </w:rPr>
        <w:t>Devon Chambers</w:t>
      </w:r>
    </w:p>
    <w:p w14:paraId="25A27066" w14:textId="77777777" w:rsidR="00C12EFE" w:rsidRPr="00C329BE" w:rsidRDefault="002C38BB" w:rsidP="00A07006">
      <w:pPr>
        <w:ind w:right="78"/>
        <w:jc w:val="center"/>
        <w:rPr>
          <w:rFonts w:cs="Arial"/>
        </w:rPr>
      </w:pPr>
      <w:r w:rsidRPr="00C329BE">
        <w:rPr>
          <w:rFonts w:cs="Arial"/>
        </w:rPr>
        <w:t>8 The Crescent</w:t>
      </w:r>
    </w:p>
    <w:p w14:paraId="63BEC4CE" w14:textId="77777777" w:rsidR="00C12EFE" w:rsidRPr="00C329BE" w:rsidRDefault="00C12EFE" w:rsidP="00A07006">
      <w:pPr>
        <w:ind w:right="78"/>
        <w:jc w:val="center"/>
        <w:rPr>
          <w:rFonts w:cs="Arial"/>
        </w:rPr>
      </w:pPr>
      <w:r w:rsidRPr="00C329BE">
        <w:rPr>
          <w:rFonts w:cs="Arial"/>
        </w:rPr>
        <w:t>Plymouth</w:t>
      </w:r>
    </w:p>
    <w:p w14:paraId="2891052E" w14:textId="77777777" w:rsidR="00C12EFE" w:rsidRPr="00C329BE" w:rsidRDefault="00C12EFE" w:rsidP="00A07006">
      <w:pPr>
        <w:ind w:right="78"/>
        <w:jc w:val="center"/>
        <w:rPr>
          <w:rFonts w:cs="Arial"/>
        </w:rPr>
      </w:pPr>
      <w:r w:rsidRPr="00C329BE">
        <w:rPr>
          <w:rFonts w:cs="Arial"/>
        </w:rPr>
        <w:t xml:space="preserve">PL1 </w:t>
      </w:r>
      <w:r w:rsidR="002C38BB" w:rsidRPr="00C329BE">
        <w:rPr>
          <w:rFonts w:cs="Arial"/>
        </w:rPr>
        <w:t>3</w:t>
      </w:r>
      <w:r w:rsidRPr="00C329BE">
        <w:rPr>
          <w:rFonts w:cs="Arial"/>
        </w:rPr>
        <w:t>A</w:t>
      </w:r>
      <w:r w:rsidR="002C38BB" w:rsidRPr="00C329BE">
        <w:rPr>
          <w:rFonts w:cs="Arial"/>
        </w:rPr>
        <w:t>B</w:t>
      </w:r>
      <w:r w:rsidRPr="00C329BE">
        <w:rPr>
          <w:rFonts w:cs="Arial"/>
        </w:rPr>
        <w:br/>
        <w:t>01752 661659</w:t>
      </w:r>
    </w:p>
    <w:p w14:paraId="5E80703A" w14:textId="77777777" w:rsidR="00C12EFE" w:rsidRPr="00C329BE" w:rsidRDefault="00A07006" w:rsidP="00A07006">
      <w:pPr>
        <w:ind w:right="78"/>
        <w:jc w:val="center"/>
        <w:rPr>
          <w:rFonts w:cs="Arial"/>
        </w:rPr>
      </w:pPr>
      <w:hyperlink r:id="rId9" w:history="1">
        <w:r w:rsidRPr="00C329BE">
          <w:rPr>
            <w:rStyle w:val="Hyperlink"/>
            <w:rFonts w:cs="Arial"/>
            <w:color w:val="auto"/>
          </w:rPr>
          <w:t>www.devonchambers.co.uk</w:t>
        </w:r>
      </w:hyperlink>
    </w:p>
    <w:p w14:paraId="005E5BF5" w14:textId="77777777" w:rsidR="00C12EFE" w:rsidRPr="00C329BE" w:rsidRDefault="00A07006" w:rsidP="0077002F">
      <w:pPr>
        <w:ind w:right="78"/>
        <w:jc w:val="center"/>
        <w:rPr>
          <w:b/>
          <w:color w:val="17365D" w:themeColor="text2" w:themeShade="BF"/>
          <w:sz w:val="32"/>
          <w:szCs w:val="32"/>
        </w:rPr>
      </w:pPr>
      <w:hyperlink r:id="rId10" w:history="1">
        <w:r w:rsidRPr="00C329BE">
          <w:rPr>
            <w:rStyle w:val="Hyperlink"/>
            <w:rFonts w:cs="Arial"/>
            <w:color w:val="auto"/>
          </w:rPr>
          <w:t>clerks@devonchambers.co.uk</w:t>
        </w:r>
      </w:hyperlink>
    </w:p>
    <w:sectPr w:rsidR="00C12EFE" w:rsidRPr="00C329BE" w:rsidSect="00C12EFE">
      <w:type w:val="continuous"/>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727516" w14:textId="77777777" w:rsidR="00F62DDA" w:rsidRDefault="00F62DDA" w:rsidP="00FA2EA5">
      <w:r>
        <w:separator/>
      </w:r>
    </w:p>
  </w:endnote>
  <w:endnote w:type="continuationSeparator" w:id="0">
    <w:p w14:paraId="6FEFA042" w14:textId="77777777" w:rsidR="00F62DDA" w:rsidRDefault="00F62DDA" w:rsidP="00FA2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9E4EC7" w14:textId="77777777" w:rsidR="00F62DDA" w:rsidRDefault="00F62DDA" w:rsidP="00FA2EA5">
      <w:r>
        <w:separator/>
      </w:r>
    </w:p>
  </w:footnote>
  <w:footnote w:type="continuationSeparator" w:id="0">
    <w:p w14:paraId="31B0905E" w14:textId="77777777" w:rsidR="00F62DDA" w:rsidRDefault="00F62DDA" w:rsidP="00FA2EA5">
      <w:r>
        <w:continuationSeparator/>
      </w:r>
    </w:p>
  </w:footnote>
  <w:footnote w:id="1">
    <w:p w14:paraId="70DDA15A" w14:textId="3C1BC365" w:rsidR="009B576C" w:rsidRDefault="009B576C" w:rsidP="009B576C">
      <w:pPr>
        <w:pStyle w:val="Footnotes"/>
      </w:pPr>
      <w:r>
        <w:rPr>
          <w:rStyle w:val="FootnoteReference"/>
        </w:rPr>
        <w:footnoteRef/>
      </w:r>
      <w:r w:rsidRPr="009B576C">
        <w:t xml:space="preserve"> </w:t>
      </w:r>
      <w:hyperlink r:id="rId1" w:history="1">
        <w:r w:rsidRPr="009B576C">
          <w:rPr>
            <w:rStyle w:val="Hyperlink"/>
          </w:rPr>
          <w:t>https://www.gov.uk/government/consultations/a-fairer-end-to-relationships/a-fairer-end-to-relationships-consultation-document</w:t>
        </w:r>
      </w:hyperlink>
    </w:p>
  </w:footnote>
  <w:footnote w:id="2">
    <w:p w14:paraId="37328B5A" w14:textId="28F772D8" w:rsidR="00FA2EA5" w:rsidRDefault="00FA2EA5" w:rsidP="009B576C">
      <w:pPr>
        <w:pStyle w:val="Footnotes"/>
      </w:pPr>
      <w:r w:rsidRPr="009D585E">
        <w:rPr>
          <w:rStyle w:val="FootnoteReference"/>
          <w:i/>
        </w:rPr>
        <w:footnoteRef/>
      </w:r>
      <w:r w:rsidRPr="009D585E">
        <w:t xml:space="preserve"> John Curtice et al (eds), </w:t>
      </w:r>
      <w:r w:rsidRPr="009B576C">
        <w:rPr>
          <w:i/>
          <w:iCs w:val="0"/>
        </w:rPr>
        <w:t>British Social Attitudes: The 36th Report</w:t>
      </w:r>
      <w:r w:rsidRPr="009D585E">
        <w:t xml:space="preserve"> (</w:t>
      </w:r>
      <w:proofErr w:type="spellStart"/>
      <w:r w:rsidRPr="009D585E">
        <w:t>NatCen</w:t>
      </w:r>
      <w:proofErr w:type="spellEnd"/>
      <w:r w:rsidRPr="009D585E">
        <w:t xml:space="preserve"> 2019).</w:t>
      </w:r>
    </w:p>
  </w:footnote>
  <w:footnote w:id="3">
    <w:p w14:paraId="3A4BA8DB" w14:textId="11ED49DA" w:rsidR="00FA2EA5" w:rsidRPr="009D585E" w:rsidRDefault="00FA2EA5" w:rsidP="009B576C">
      <w:pPr>
        <w:pStyle w:val="Footnotes"/>
      </w:pPr>
      <w:r w:rsidRPr="009D585E">
        <w:rPr>
          <w:rStyle w:val="FootnoteReference"/>
          <w:i/>
        </w:rPr>
        <w:footnoteRef/>
      </w:r>
      <w:r w:rsidRPr="009D585E">
        <w:t xml:space="preserve"> </w:t>
      </w:r>
      <w:r w:rsidRPr="009B576C">
        <w:t>Office for National Statistics, Families and households (dataset, 17 April 2026) &lt;</w:t>
      </w:r>
      <w:hyperlink r:id="rId2" w:history="1">
        <w:r w:rsidRPr="009B576C">
          <w:rPr>
            <w:rStyle w:val="Hyperlink"/>
          </w:rPr>
          <w:t>https://www.ons.gov.uk/peoplepopulationandcommunity/birthsdeathsandmarriages/families/datasets/familiesandhouseholdsfamiliesandhouseholds</w:t>
        </w:r>
      </w:hyperlink>
      <w:r w:rsidRPr="009B576C">
        <w:t>&gt;;</w:t>
      </w:r>
    </w:p>
  </w:footnote>
  <w:footnote w:id="4">
    <w:p w14:paraId="03999B93" w14:textId="1A9C308F" w:rsidR="00FA2EA5" w:rsidRPr="009D585E" w:rsidRDefault="00FA2EA5" w:rsidP="009B576C">
      <w:pPr>
        <w:pStyle w:val="Footnotes"/>
      </w:pPr>
      <w:r w:rsidRPr="009D585E">
        <w:rPr>
          <w:rStyle w:val="FootnoteReference"/>
          <w:i/>
        </w:rPr>
        <w:footnoteRef/>
      </w:r>
      <w:r w:rsidRPr="009D585E">
        <w:t xml:space="preserve"> Law Commission, </w:t>
      </w:r>
      <w:r w:rsidRPr="009B576C">
        <w:rPr>
          <w:i/>
          <w:iCs w:val="0"/>
        </w:rPr>
        <w:t>Cohabitation: The Financial Consequences of Relationship Breakdown</w:t>
      </w:r>
      <w:r w:rsidRPr="009D585E">
        <w:t xml:space="preserve"> (Cm 7182, 2007), para 1.10; Office for National Statistics, Birth characteristics in England and Wales: 2022 (17 May 2024) accessible at: &lt;</w:t>
      </w:r>
      <w:hyperlink r:id="rId3" w:history="1">
        <w:r w:rsidRPr="009B576C">
          <w:rPr>
            <w:rStyle w:val="Hyperlink"/>
          </w:rPr>
          <w:t>https://www.ons.gov.uk/peoplepopulationandcommunity/birthsdeathsandmarriages/ livebirths/bulletins/birthcharacteristicsinenglandandwales/2022</w:t>
        </w:r>
      </w:hyperlink>
      <w:r w:rsidRPr="009D585E">
        <w:t>&gt;.</w:t>
      </w:r>
    </w:p>
  </w:footnote>
  <w:footnote w:id="5">
    <w:p w14:paraId="36F20ADA" w14:textId="77777777" w:rsidR="00FA2EA5" w:rsidRPr="009D585E" w:rsidRDefault="00FA2EA5" w:rsidP="009B576C">
      <w:pPr>
        <w:pStyle w:val="Footnotes"/>
      </w:pPr>
      <w:r w:rsidRPr="009D585E">
        <w:rPr>
          <w:rStyle w:val="FootnoteReference"/>
          <w:i/>
        </w:rPr>
        <w:footnoteRef/>
      </w:r>
      <w:r w:rsidRPr="009D585E">
        <w:t xml:space="preserve"> Mental Health Foundation, Poverty Statistics (Mental Health Foundation,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47354A"/>
    <w:multiLevelType w:val="hybridMultilevel"/>
    <w:tmpl w:val="6A5600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F73526"/>
    <w:multiLevelType w:val="hybridMultilevel"/>
    <w:tmpl w:val="649C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813EE2"/>
    <w:multiLevelType w:val="hybridMultilevel"/>
    <w:tmpl w:val="9F2E12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8600525">
    <w:abstractNumId w:val="1"/>
  </w:num>
  <w:num w:numId="2" w16cid:durableId="554508505">
    <w:abstractNumId w:val="2"/>
  </w:num>
  <w:num w:numId="3" w16cid:durableId="7932514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EA"/>
    <w:rsid w:val="00015953"/>
    <w:rsid w:val="000270A1"/>
    <w:rsid w:val="00092DDE"/>
    <w:rsid w:val="00243418"/>
    <w:rsid w:val="0029024B"/>
    <w:rsid w:val="002B1170"/>
    <w:rsid w:val="002C38BB"/>
    <w:rsid w:val="0030041A"/>
    <w:rsid w:val="00336A00"/>
    <w:rsid w:val="00396298"/>
    <w:rsid w:val="003B1623"/>
    <w:rsid w:val="003E33C6"/>
    <w:rsid w:val="003F46F1"/>
    <w:rsid w:val="0041760B"/>
    <w:rsid w:val="004B72E5"/>
    <w:rsid w:val="004E37EB"/>
    <w:rsid w:val="004E5A94"/>
    <w:rsid w:val="004E7D69"/>
    <w:rsid w:val="00523F3A"/>
    <w:rsid w:val="00573A21"/>
    <w:rsid w:val="00585980"/>
    <w:rsid w:val="005A2FD0"/>
    <w:rsid w:val="00633406"/>
    <w:rsid w:val="00674313"/>
    <w:rsid w:val="006A63DB"/>
    <w:rsid w:val="006F07DD"/>
    <w:rsid w:val="0077002F"/>
    <w:rsid w:val="007E6DB1"/>
    <w:rsid w:val="00802ED0"/>
    <w:rsid w:val="0083787E"/>
    <w:rsid w:val="00850D09"/>
    <w:rsid w:val="00966212"/>
    <w:rsid w:val="009B576C"/>
    <w:rsid w:val="009D585E"/>
    <w:rsid w:val="009E4937"/>
    <w:rsid w:val="00A07006"/>
    <w:rsid w:val="00A22256"/>
    <w:rsid w:val="00B56EE6"/>
    <w:rsid w:val="00B86B48"/>
    <w:rsid w:val="00C00853"/>
    <w:rsid w:val="00C030EA"/>
    <w:rsid w:val="00C12EFE"/>
    <w:rsid w:val="00C329BE"/>
    <w:rsid w:val="00C35A3A"/>
    <w:rsid w:val="00EA5C8C"/>
    <w:rsid w:val="00ED11BE"/>
    <w:rsid w:val="00F32AF6"/>
    <w:rsid w:val="00F62DDA"/>
    <w:rsid w:val="00F849CD"/>
    <w:rsid w:val="00FA04E1"/>
    <w:rsid w:val="00FA2E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392B8"/>
  <w14:defaultImageDpi w14:val="300"/>
  <w15:docId w15:val="{AB71423D-6D94-45FF-B4D9-A1FD438CF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953"/>
    <w:pPr>
      <w:spacing w:line="360" w:lineRule="auto"/>
    </w:pPr>
    <w:rPr>
      <w:rFonts w:ascii="Century Gothic" w:hAnsi="Century Gothic"/>
      <w:sz w:val="22"/>
    </w:rPr>
  </w:style>
  <w:style w:type="paragraph" w:styleId="Heading1">
    <w:name w:val="heading 1"/>
    <w:basedOn w:val="Normal"/>
    <w:next w:val="Normal"/>
    <w:link w:val="Heading1Char"/>
    <w:uiPriority w:val="9"/>
    <w:qFormat/>
    <w:rsid w:val="00F849CD"/>
    <w:pPr>
      <w:keepNext/>
      <w:keepLines/>
      <w:spacing w:before="240"/>
      <w:outlineLvl w:val="0"/>
    </w:pPr>
    <w:rPr>
      <w:rFonts w:eastAsiaTheme="majorEastAsia" w:cstheme="majorBidi"/>
      <w:color w:val="17365D" w:themeColor="text2" w:themeShade="BF"/>
      <w:sz w:val="32"/>
      <w:szCs w:val="32"/>
    </w:rPr>
  </w:style>
  <w:style w:type="paragraph" w:styleId="Heading2">
    <w:name w:val="heading 2"/>
    <w:basedOn w:val="Normal"/>
    <w:next w:val="Normal"/>
    <w:link w:val="Heading2Char"/>
    <w:uiPriority w:val="9"/>
    <w:unhideWhenUsed/>
    <w:qFormat/>
    <w:rsid w:val="00F849CD"/>
    <w:pPr>
      <w:keepNext/>
      <w:keepLines/>
      <w:spacing w:before="40"/>
      <w:outlineLvl w:val="1"/>
    </w:pPr>
    <w:rPr>
      <w:rFonts w:eastAsiaTheme="majorEastAsia" w:cstheme="majorBidi"/>
      <w:color w:val="17365D" w:themeColor="text2" w:themeShade="BF"/>
      <w:sz w:val="26"/>
      <w:szCs w:val="26"/>
    </w:rPr>
  </w:style>
  <w:style w:type="paragraph" w:styleId="Heading3">
    <w:name w:val="heading 3"/>
    <w:basedOn w:val="Normal"/>
    <w:next w:val="Normal"/>
    <w:link w:val="Heading3Char"/>
    <w:uiPriority w:val="9"/>
    <w:unhideWhenUsed/>
    <w:qFormat/>
    <w:rsid w:val="00015953"/>
    <w:pPr>
      <w:keepNext/>
      <w:keepLines/>
      <w:spacing w:before="40"/>
      <w:outlineLvl w:val="2"/>
    </w:pPr>
    <w:rPr>
      <w:rFonts w:eastAsiaTheme="majorEastAsia" w:cstheme="majorBidi"/>
      <w:color w:val="17365D" w:themeColor="tex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sthead">
    <w:name w:val="Masthead"/>
    <w:basedOn w:val="Normal"/>
    <w:rsid w:val="00C12EFE"/>
    <w:pPr>
      <w:ind w:left="144"/>
    </w:pPr>
    <w:rPr>
      <w:rFonts w:eastAsia="Times New Roman" w:cs="Times New Roman"/>
      <w:color w:val="FFFFFF"/>
      <w:sz w:val="96"/>
      <w:szCs w:val="96"/>
      <w:lang w:val="en-US"/>
    </w:rPr>
  </w:style>
  <w:style w:type="paragraph" w:styleId="BalloonText">
    <w:name w:val="Balloon Text"/>
    <w:basedOn w:val="Normal"/>
    <w:link w:val="BalloonTextChar"/>
    <w:uiPriority w:val="99"/>
    <w:semiHidden/>
    <w:unhideWhenUsed/>
    <w:rsid w:val="00C12EFE"/>
    <w:rPr>
      <w:rFonts w:ascii="Lucida Grande" w:hAnsi="Lucida Grande"/>
      <w:sz w:val="18"/>
      <w:szCs w:val="18"/>
    </w:rPr>
  </w:style>
  <w:style w:type="character" w:customStyle="1" w:styleId="BalloonTextChar">
    <w:name w:val="Balloon Text Char"/>
    <w:basedOn w:val="DefaultParagraphFont"/>
    <w:link w:val="BalloonText"/>
    <w:uiPriority w:val="99"/>
    <w:semiHidden/>
    <w:rsid w:val="00C12EFE"/>
    <w:rPr>
      <w:rFonts w:ascii="Lucida Grande" w:hAnsi="Lucida Grande"/>
      <w:sz w:val="18"/>
      <w:szCs w:val="18"/>
    </w:rPr>
  </w:style>
  <w:style w:type="character" w:styleId="Hyperlink">
    <w:name w:val="Hyperlink"/>
    <w:basedOn w:val="DefaultParagraphFont"/>
    <w:uiPriority w:val="99"/>
    <w:unhideWhenUsed/>
    <w:rsid w:val="00A07006"/>
    <w:rPr>
      <w:color w:val="0000FF" w:themeColor="hyperlink"/>
      <w:u w:val="single"/>
    </w:rPr>
  </w:style>
  <w:style w:type="paragraph" w:styleId="ListParagraph">
    <w:name w:val="List Paragraph"/>
    <w:basedOn w:val="Normal"/>
    <w:uiPriority w:val="34"/>
    <w:qFormat/>
    <w:rsid w:val="00F849CD"/>
    <w:pPr>
      <w:spacing w:after="160" w:line="259" w:lineRule="auto"/>
      <w:ind w:left="720"/>
      <w:contextualSpacing/>
    </w:pPr>
    <w:rPr>
      <w:rFonts w:eastAsiaTheme="minorHAnsi"/>
      <w:szCs w:val="22"/>
    </w:rPr>
  </w:style>
  <w:style w:type="paragraph" w:customStyle="1" w:styleId="Month">
    <w:name w:val="Month"/>
    <w:aliases w:val="year"/>
    <w:basedOn w:val="Normal"/>
    <w:qFormat/>
    <w:rsid w:val="00F849CD"/>
    <w:rPr>
      <w:b/>
      <w:color w:val="17365D" w:themeColor="text2" w:themeShade="BF"/>
      <w:sz w:val="32"/>
      <w:szCs w:val="32"/>
    </w:rPr>
  </w:style>
  <w:style w:type="paragraph" w:customStyle="1" w:styleId="Casenametitle">
    <w:name w:val="Case name title"/>
    <w:basedOn w:val="Normal"/>
    <w:qFormat/>
    <w:rsid w:val="00F849CD"/>
    <w:pPr>
      <w:spacing w:line="276" w:lineRule="auto"/>
    </w:pPr>
    <w:rPr>
      <w:rFonts w:cs="Arial"/>
      <w:b/>
      <w:color w:val="17365D" w:themeColor="text2" w:themeShade="BF"/>
    </w:rPr>
  </w:style>
  <w:style w:type="character" w:customStyle="1" w:styleId="Heading1Char">
    <w:name w:val="Heading 1 Char"/>
    <w:basedOn w:val="DefaultParagraphFont"/>
    <w:link w:val="Heading1"/>
    <w:uiPriority w:val="9"/>
    <w:rsid w:val="00F849CD"/>
    <w:rPr>
      <w:rFonts w:ascii="Century Gothic" w:eastAsiaTheme="majorEastAsia" w:hAnsi="Century Gothic" w:cstheme="majorBidi"/>
      <w:color w:val="17365D" w:themeColor="text2" w:themeShade="BF"/>
      <w:sz w:val="32"/>
      <w:szCs w:val="32"/>
    </w:rPr>
  </w:style>
  <w:style w:type="paragraph" w:styleId="Subtitle">
    <w:name w:val="Subtitle"/>
    <w:basedOn w:val="Normal"/>
    <w:next w:val="Normal"/>
    <w:link w:val="SubtitleChar"/>
    <w:uiPriority w:val="11"/>
    <w:qFormat/>
    <w:rsid w:val="00F849CD"/>
    <w:pPr>
      <w:numPr>
        <w:ilvl w:val="1"/>
      </w:numPr>
      <w:spacing w:after="160"/>
    </w:pPr>
    <w:rPr>
      <w:i/>
      <w:color w:val="17365D" w:themeColor="text2" w:themeShade="BF"/>
      <w:spacing w:val="15"/>
      <w:szCs w:val="22"/>
    </w:rPr>
  </w:style>
  <w:style w:type="character" w:customStyle="1" w:styleId="SubtitleChar">
    <w:name w:val="Subtitle Char"/>
    <w:basedOn w:val="DefaultParagraphFont"/>
    <w:link w:val="Subtitle"/>
    <w:uiPriority w:val="11"/>
    <w:rsid w:val="00F849CD"/>
    <w:rPr>
      <w:rFonts w:ascii="Arial" w:hAnsi="Arial"/>
      <w:i/>
      <w:color w:val="17365D" w:themeColor="text2" w:themeShade="BF"/>
      <w:spacing w:val="15"/>
      <w:sz w:val="22"/>
      <w:szCs w:val="22"/>
    </w:rPr>
  </w:style>
  <w:style w:type="character" w:customStyle="1" w:styleId="Heading2Char">
    <w:name w:val="Heading 2 Char"/>
    <w:basedOn w:val="DefaultParagraphFont"/>
    <w:link w:val="Heading2"/>
    <w:uiPriority w:val="9"/>
    <w:rsid w:val="00F849CD"/>
    <w:rPr>
      <w:rFonts w:ascii="Century Gothic" w:eastAsiaTheme="majorEastAsia" w:hAnsi="Century Gothic" w:cstheme="majorBidi"/>
      <w:color w:val="17365D" w:themeColor="text2" w:themeShade="BF"/>
      <w:sz w:val="26"/>
      <w:szCs w:val="26"/>
    </w:rPr>
  </w:style>
  <w:style w:type="paragraph" w:customStyle="1" w:styleId="Barristername">
    <w:name w:val="Barrister name"/>
    <w:basedOn w:val="Normal"/>
    <w:qFormat/>
    <w:rsid w:val="002C38BB"/>
    <w:pPr>
      <w:jc w:val="right"/>
    </w:pPr>
    <w:rPr>
      <w:rFonts w:cs="Arial"/>
      <w:b/>
      <w:color w:val="17365D" w:themeColor="text2" w:themeShade="BF"/>
    </w:rPr>
  </w:style>
  <w:style w:type="character" w:customStyle="1" w:styleId="Heading3Char">
    <w:name w:val="Heading 3 Char"/>
    <w:basedOn w:val="DefaultParagraphFont"/>
    <w:link w:val="Heading3"/>
    <w:uiPriority w:val="9"/>
    <w:rsid w:val="00015953"/>
    <w:rPr>
      <w:rFonts w:ascii="Century Gothic" w:eastAsiaTheme="majorEastAsia" w:hAnsi="Century Gothic" w:cstheme="majorBidi"/>
      <w:color w:val="17365D" w:themeColor="text2" w:themeShade="BF"/>
      <w:sz w:val="22"/>
    </w:rPr>
  </w:style>
  <w:style w:type="paragraph" w:styleId="FootnoteText">
    <w:name w:val="footnote text"/>
    <w:basedOn w:val="Normal"/>
    <w:link w:val="FootnoteTextChar"/>
    <w:uiPriority w:val="99"/>
    <w:semiHidden/>
    <w:unhideWhenUsed/>
    <w:rsid w:val="00FA2EA5"/>
    <w:rPr>
      <w:rFonts w:asciiTheme="minorHAnsi" w:hAnsiTheme="minorHAnsi"/>
      <w:sz w:val="20"/>
      <w:szCs w:val="20"/>
      <w:lang w:eastAsia="ja-JP"/>
    </w:rPr>
  </w:style>
  <w:style w:type="character" w:customStyle="1" w:styleId="FootnoteTextChar">
    <w:name w:val="Footnote Text Char"/>
    <w:basedOn w:val="DefaultParagraphFont"/>
    <w:link w:val="FootnoteText"/>
    <w:uiPriority w:val="99"/>
    <w:semiHidden/>
    <w:rsid w:val="00FA2EA5"/>
    <w:rPr>
      <w:sz w:val="20"/>
      <w:szCs w:val="20"/>
      <w:lang w:eastAsia="ja-JP"/>
    </w:rPr>
  </w:style>
  <w:style w:type="character" w:styleId="FootnoteReference">
    <w:name w:val="footnote reference"/>
    <w:basedOn w:val="DefaultParagraphFont"/>
    <w:uiPriority w:val="99"/>
    <w:semiHidden/>
    <w:unhideWhenUsed/>
    <w:rsid w:val="00FA2EA5"/>
    <w:rPr>
      <w:vertAlign w:val="superscript"/>
    </w:rPr>
  </w:style>
  <w:style w:type="character" w:styleId="UnresolvedMention">
    <w:name w:val="Unresolved Mention"/>
    <w:basedOn w:val="DefaultParagraphFont"/>
    <w:uiPriority w:val="99"/>
    <w:semiHidden/>
    <w:unhideWhenUsed/>
    <w:rsid w:val="009B576C"/>
    <w:rPr>
      <w:color w:val="605E5C"/>
      <w:shd w:val="clear" w:color="auto" w:fill="E1DFDD"/>
    </w:rPr>
  </w:style>
  <w:style w:type="paragraph" w:customStyle="1" w:styleId="Footnotes">
    <w:name w:val="Footnotes"/>
    <w:basedOn w:val="FootnoteText"/>
    <w:qFormat/>
    <w:rsid w:val="009B576C"/>
    <w:rPr>
      <w:rFonts w:ascii="Century Gothic" w:hAnsi="Century Gothic"/>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lerks@devonchambers.co.uk" TargetMode="External"/><Relationship Id="rId4" Type="http://schemas.openxmlformats.org/officeDocument/2006/relationships/webSettings" Target="webSettings.xml"/><Relationship Id="rId9" Type="http://schemas.openxmlformats.org/officeDocument/2006/relationships/hyperlink" Target="http://www.devonchambers.co.u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ons.gov.uk/peoplepopulationandcommunity/birthsdeathsandmarriages/%20livebirths/bulletins/birthcharacteristicsinenglandandwales/2022" TargetMode="External"/><Relationship Id="rId2" Type="http://schemas.openxmlformats.org/officeDocument/2006/relationships/hyperlink" Target="https://www.ons.gov.uk/peoplepopulationandcommunity/birthsdeathsandmarriages/families/datasets/familiesandhouseholdsfamiliesandhouseholds" TargetMode="External"/><Relationship Id="rId1" Type="http://schemas.openxmlformats.org/officeDocument/2006/relationships/hyperlink" Target="https://www.gov.uk/government/consultations/a-fairer-end-to-relationships/a-fairer-end-to-relationships-consultation-docu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lseaMcVicker\AppData\Local\Microsoft\Windows\INetCache\Content.Outlook\Q2KENXBX\Devon%20Chambers%20Criminal%20Law%20update%20February%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C:\Users\ChelseaMcVicker\AppData\Local\Microsoft\Windows\INetCache\Content.Outlook\Q2KENXBX\Devon Chambers Criminal Law update February 2026.dotx</Template>
  <TotalTime>7</TotalTime>
  <Pages>6</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McVicker</dc:creator>
  <cp:lastModifiedBy>Microsoft Office User</cp:lastModifiedBy>
  <cp:revision>3</cp:revision>
  <cp:lastPrinted>2026-10-30T12:06:00Z</cp:lastPrinted>
  <dcterms:created xsi:type="dcterms:W3CDTF">2026-10-30T12:06:00Z</dcterms:created>
  <dcterms:modified xsi:type="dcterms:W3CDTF">2026-10-30T12:15:00Z</dcterms:modified>
</cp:coreProperties>
</file>